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Theme="minorHAnsi"/>
        </w:rPr>
      </w:pPr>
      <w:bookmarkStart w:id="0" w:name="_GoBack"/>
      <w:bookmarkEnd w:id="0"/>
      <w:r>
        <w:rPr>
          <w:rFonts w:ascii="Times New Roman" w:hAnsi="Times New Roman" w:eastAsiaTheme="minorHAnsi"/>
        </w:rPr>
        <w:t>COMUNA PIETROSANI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ANEXA nr.1 la HCL 8/01.03.2022</w:t>
      </w: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      </w:t>
      </w: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    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BUGET LOCAL</w:t>
      </w:r>
      <w:r>
        <w:rPr>
          <w:rFonts w:ascii="Times New Roman" w:hAnsi="Times New Roman" w:eastAsiaTheme="minorHAnsi"/>
        </w:rPr>
        <w:tab/>
      </w:r>
    </w:p>
    <w:p>
      <w:pPr>
        <w:spacing w:after="0" w:line="240" w:lineRule="auto"/>
        <w:rPr>
          <w:rFonts w:ascii="Times New Roman" w:hAnsi="Times New Roman" w:eastAsiaTheme="minorHAnsi"/>
        </w:rPr>
      </w:pP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                                       </w:t>
      </w: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                                          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-mii lei-</w:t>
      </w:r>
    </w:p>
    <w:tbl>
      <w:tblPr>
        <w:tblStyle w:val="7"/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559"/>
        <w:gridCol w:w="1011"/>
        <w:gridCol w:w="1116"/>
        <w:gridCol w:w="1011"/>
        <w:gridCol w:w="1011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Denumire indicator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Cod indicator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Influente buget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Influente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Trim l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Influente trim ll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Influente trim lll</w:t>
            </w:r>
          </w:p>
        </w:tc>
        <w:tc>
          <w:tcPr>
            <w:tcW w:w="109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Influente trim lV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VENITURI-TOTAL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00.01.02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550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114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126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138</w:t>
            </w:r>
          </w:p>
        </w:tc>
        <w:tc>
          <w:tcPr>
            <w:tcW w:w="109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Sume defalcate din TVA pentru finantarea cheltuielilor descentralizate la nivelul comunelor, oraselor municipiilor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11.02.02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550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114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126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138</w:t>
            </w:r>
          </w:p>
        </w:tc>
        <w:tc>
          <w:tcPr>
            <w:tcW w:w="109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CHELTUIELI – 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50.02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550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114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126</w:t>
            </w:r>
          </w:p>
        </w:tc>
        <w:tc>
          <w:tcPr>
            <w:tcW w:w="10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138</w:t>
            </w:r>
          </w:p>
        </w:tc>
        <w:tc>
          <w:tcPr>
            <w:tcW w:w="109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INVATAMANT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65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550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114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126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138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  <w:b/>
              </w:rPr>
              <w:t>INVATAMANT SECUNDAR INFERIOR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65.02.04.01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550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114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126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138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BUNURI SI SERVICII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20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328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67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74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82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Bunuri si servicii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20.01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292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67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68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82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Furniture de birou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20.01.01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4.5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0.5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3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Materiale curatenie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20.01.02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9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5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Iliminat incalzit forta motrica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20.01.03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187.5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8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30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60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Apa canal si salubritate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20.01.04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7.5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0.5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5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0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Posta telecomunicatii radio tv internet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20.01.08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10.5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7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Materiale si prestari servicii cu caracter functional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20.01.09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64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40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10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8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Alte bunuri se servicii pentru intretinere si funtionare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20.01.30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39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15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10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8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544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Pregatire profesionala</w:t>
            </w:r>
          </w:p>
        </w:tc>
        <w:tc>
          <w:tcPr>
            <w:tcW w:w="1559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20.13</w:t>
            </w:r>
          </w:p>
        </w:tc>
        <w:tc>
          <w:tcPr>
            <w:tcW w:w="1011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</w:t>
            </w:r>
          </w:p>
        </w:tc>
        <w:tc>
          <w:tcPr>
            <w:tcW w:w="111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0</w:t>
            </w:r>
          </w:p>
        </w:tc>
        <w:tc>
          <w:tcPr>
            <w:tcW w:w="1011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</w:t>
            </w:r>
          </w:p>
        </w:tc>
        <w:tc>
          <w:tcPr>
            <w:tcW w:w="1011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0</w:t>
            </w:r>
          </w:p>
        </w:tc>
        <w:tc>
          <w:tcPr>
            <w:tcW w:w="109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ALTE CHELTUIELI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59</w:t>
            </w:r>
          </w:p>
        </w:tc>
        <w:tc>
          <w:tcPr>
            <w:tcW w:w="10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222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47</w:t>
            </w:r>
          </w:p>
        </w:tc>
        <w:tc>
          <w:tcPr>
            <w:tcW w:w="10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52</w:t>
            </w:r>
          </w:p>
        </w:tc>
        <w:tc>
          <w:tcPr>
            <w:tcW w:w="10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56</w:t>
            </w:r>
          </w:p>
        </w:tc>
        <w:tc>
          <w:tcPr>
            <w:tcW w:w="10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</w:rPr>
            </w:pPr>
            <w:r>
              <w:rPr>
                <w:rFonts w:ascii="Times New Roman" w:hAnsi="Times New Roman" w:eastAsiaTheme="minorHAnsi"/>
                <w:b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54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Burse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59.01</w:t>
            </w:r>
          </w:p>
        </w:tc>
        <w:tc>
          <w:tcPr>
            <w:tcW w:w="101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222</w:t>
            </w:r>
          </w:p>
        </w:tc>
        <w:tc>
          <w:tcPr>
            <w:tcW w:w="111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47</w:t>
            </w:r>
          </w:p>
        </w:tc>
        <w:tc>
          <w:tcPr>
            <w:tcW w:w="101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52</w:t>
            </w:r>
          </w:p>
        </w:tc>
        <w:tc>
          <w:tcPr>
            <w:tcW w:w="101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56</w:t>
            </w:r>
          </w:p>
        </w:tc>
        <w:tc>
          <w:tcPr>
            <w:tcW w:w="109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67</w:t>
            </w:r>
          </w:p>
        </w:tc>
      </w:tr>
    </w:tbl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PRESEDINTE DE SEDINTA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SECRETAR GENERAL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____________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NITULESCU CRINA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23672"/>
    <w:rsid w:val="001256DD"/>
    <w:rsid w:val="00125852"/>
    <w:rsid w:val="00161CA6"/>
    <w:rsid w:val="00172214"/>
    <w:rsid w:val="00180CE4"/>
    <w:rsid w:val="001B4789"/>
    <w:rsid w:val="001B71F3"/>
    <w:rsid w:val="001C37C0"/>
    <w:rsid w:val="001C67B8"/>
    <w:rsid w:val="001D62F6"/>
    <w:rsid w:val="00213617"/>
    <w:rsid w:val="00227EE7"/>
    <w:rsid w:val="00237A82"/>
    <w:rsid w:val="00242F9E"/>
    <w:rsid w:val="00272093"/>
    <w:rsid w:val="00295B42"/>
    <w:rsid w:val="002B12CC"/>
    <w:rsid w:val="002B293F"/>
    <w:rsid w:val="002B30FE"/>
    <w:rsid w:val="002C051C"/>
    <w:rsid w:val="002D1D97"/>
    <w:rsid w:val="002D280C"/>
    <w:rsid w:val="002E4A3A"/>
    <w:rsid w:val="00300D5D"/>
    <w:rsid w:val="00360167"/>
    <w:rsid w:val="00367C3C"/>
    <w:rsid w:val="00384EC7"/>
    <w:rsid w:val="003C6569"/>
    <w:rsid w:val="003D599F"/>
    <w:rsid w:val="003E6894"/>
    <w:rsid w:val="003F16A0"/>
    <w:rsid w:val="004057F8"/>
    <w:rsid w:val="00415D2E"/>
    <w:rsid w:val="00441095"/>
    <w:rsid w:val="00445CD0"/>
    <w:rsid w:val="00453B98"/>
    <w:rsid w:val="00455496"/>
    <w:rsid w:val="00474C1E"/>
    <w:rsid w:val="004A0C0A"/>
    <w:rsid w:val="004C56FE"/>
    <w:rsid w:val="004D7CC1"/>
    <w:rsid w:val="004E3774"/>
    <w:rsid w:val="004F5C0C"/>
    <w:rsid w:val="005163A1"/>
    <w:rsid w:val="00532821"/>
    <w:rsid w:val="00557B24"/>
    <w:rsid w:val="00581AC6"/>
    <w:rsid w:val="00595988"/>
    <w:rsid w:val="005B454F"/>
    <w:rsid w:val="005C6B3B"/>
    <w:rsid w:val="005E7790"/>
    <w:rsid w:val="00606BF0"/>
    <w:rsid w:val="006223A2"/>
    <w:rsid w:val="00622A9C"/>
    <w:rsid w:val="00624FDA"/>
    <w:rsid w:val="006411E8"/>
    <w:rsid w:val="0064353A"/>
    <w:rsid w:val="00656656"/>
    <w:rsid w:val="006911AB"/>
    <w:rsid w:val="006B5C49"/>
    <w:rsid w:val="006C24EB"/>
    <w:rsid w:val="006E556C"/>
    <w:rsid w:val="00715093"/>
    <w:rsid w:val="007474BD"/>
    <w:rsid w:val="00751F3F"/>
    <w:rsid w:val="00776043"/>
    <w:rsid w:val="0078621F"/>
    <w:rsid w:val="00796933"/>
    <w:rsid w:val="007A43B3"/>
    <w:rsid w:val="007A672B"/>
    <w:rsid w:val="007C0DD3"/>
    <w:rsid w:val="007C614F"/>
    <w:rsid w:val="007F28FF"/>
    <w:rsid w:val="007F6352"/>
    <w:rsid w:val="0080182F"/>
    <w:rsid w:val="00827046"/>
    <w:rsid w:val="00833222"/>
    <w:rsid w:val="008535F5"/>
    <w:rsid w:val="00884D77"/>
    <w:rsid w:val="00891061"/>
    <w:rsid w:val="008B4292"/>
    <w:rsid w:val="008C60C0"/>
    <w:rsid w:val="008E2BFC"/>
    <w:rsid w:val="008E6226"/>
    <w:rsid w:val="008E77A5"/>
    <w:rsid w:val="008F3962"/>
    <w:rsid w:val="009407B0"/>
    <w:rsid w:val="00994867"/>
    <w:rsid w:val="009A2691"/>
    <w:rsid w:val="009A42BD"/>
    <w:rsid w:val="009B7EA0"/>
    <w:rsid w:val="009D4192"/>
    <w:rsid w:val="009E61F0"/>
    <w:rsid w:val="009F5A4B"/>
    <w:rsid w:val="00A10E20"/>
    <w:rsid w:val="00A26A50"/>
    <w:rsid w:val="00A55D28"/>
    <w:rsid w:val="00A616BA"/>
    <w:rsid w:val="00A84ABD"/>
    <w:rsid w:val="00AA3C96"/>
    <w:rsid w:val="00AA5753"/>
    <w:rsid w:val="00AB6A55"/>
    <w:rsid w:val="00AC0AA9"/>
    <w:rsid w:val="00AC607F"/>
    <w:rsid w:val="00AD6901"/>
    <w:rsid w:val="00AE31C2"/>
    <w:rsid w:val="00AE429F"/>
    <w:rsid w:val="00AF4444"/>
    <w:rsid w:val="00AF7825"/>
    <w:rsid w:val="00B16DF2"/>
    <w:rsid w:val="00B239EC"/>
    <w:rsid w:val="00B24339"/>
    <w:rsid w:val="00B26C7A"/>
    <w:rsid w:val="00B33A61"/>
    <w:rsid w:val="00B479D2"/>
    <w:rsid w:val="00B72ECC"/>
    <w:rsid w:val="00B733C3"/>
    <w:rsid w:val="00BA5E60"/>
    <w:rsid w:val="00BC1B59"/>
    <w:rsid w:val="00BE6324"/>
    <w:rsid w:val="00BE679E"/>
    <w:rsid w:val="00BF4C20"/>
    <w:rsid w:val="00C63299"/>
    <w:rsid w:val="00C91E98"/>
    <w:rsid w:val="00CA29A3"/>
    <w:rsid w:val="00CA659E"/>
    <w:rsid w:val="00CB5BF5"/>
    <w:rsid w:val="00CB6912"/>
    <w:rsid w:val="00CB7B5C"/>
    <w:rsid w:val="00CD0B0D"/>
    <w:rsid w:val="00D00612"/>
    <w:rsid w:val="00D15B07"/>
    <w:rsid w:val="00D21CFE"/>
    <w:rsid w:val="00D21F11"/>
    <w:rsid w:val="00D22591"/>
    <w:rsid w:val="00D26AC0"/>
    <w:rsid w:val="00D32248"/>
    <w:rsid w:val="00D35703"/>
    <w:rsid w:val="00D4067C"/>
    <w:rsid w:val="00D91C77"/>
    <w:rsid w:val="00D953D5"/>
    <w:rsid w:val="00DB623A"/>
    <w:rsid w:val="00DC5741"/>
    <w:rsid w:val="00DD6048"/>
    <w:rsid w:val="00DE0C1A"/>
    <w:rsid w:val="00DF3359"/>
    <w:rsid w:val="00E26184"/>
    <w:rsid w:val="00E27BF8"/>
    <w:rsid w:val="00E64FD0"/>
    <w:rsid w:val="00E77C2E"/>
    <w:rsid w:val="00EB638E"/>
    <w:rsid w:val="00EF7598"/>
    <w:rsid w:val="00F04629"/>
    <w:rsid w:val="00F107C6"/>
    <w:rsid w:val="00F22D2D"/>
    <w:rsid w:val="00F22F07"/>
    <w:rsid w:val="00F248D0"/>
    <w:rsid w:val="00F4354B"/>
    <w:rsid w:val="00F64140"/>
    <w:rsid w:val="00F74B58"/>
    <w:rsid w:val="00F9053C"/>
    <w:rsid w:val="00FA26B0"/>
    <w:rsid w:val="00FA47E4"/>
    <w:rsid w:val="647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48CC-37CE-41B2-A6E0-DA999A547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1146</Characters>
  <Lines>9</Lines>
  <Paragraphs>2</Paragraphs>
  <TotalTime>787</TotalTime>
  <ScaleCrop>false</ScaleCrop>
  <LinksUpToDate>false</LinksUpToDate>
  <CharactersWithSpaces>1344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2022-02-25T08:23:00Z</cp:lastPrinted>
  <dcterms:modified xsi:type="dcterms:W3CDTF">2022-10-25T07:22:50Z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C42CCBFDFF334E8EAFDC991943C8BBE9</vt:lpwstr>
  </property>
</Properties>
</file>